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F1" w:rsidRDefault="00542CF1" w:rsidP="00542CF1">
      <w:pPr>
        <w:pStyle w:val="a6"/>
        <w:shd w:val="clear" w:color="auto" w:fill="FFFFFF"/>
        <w:jc w:val="center"/>
      </w:pPr>
      <w:r>
        <w:t>Общие рекомендации для монтажа кабельных трасс на основе лотка Эвантер</w:t>
      </w:r>
      <w:bookmarkStart w:id="0" w:name="_GoBack"/>
      <w:bookmarkEnd w:id="0"/>
    </w:p>
    <w:p w:rsidR="00542CF1" w:rsidRDefault="00542CF1" w:rsidP="00542CF1">
      <w:pPr>
        <w:pStyle w:val="a6"/>
        <w:shd w:val="clear" w:color="auto" w:fill="FFFFFF"/>
        <w:jc w:val="center"/>
      </w:pPr>
      <w:r>
        <w:t>Конфигурацию и форма проволочного лотка может быть изменена в соответствии</w:t>
      </w:r>
      <w:r>
        <w:rPr>
          <w:rFonts w:ascii="MS Mincho" w:eastAsia="MS Mincho" w:hAnsi="MS Mincho" w:cs="MS Mincho" w:hint="eastAsia"/>
        </w:rPr>
        <w:t> </w:t>
      </w:r>
      <w:r>
        <w:rPr>
          <w:rFonts w:ascii="Times New Roman" w:hAnsi="Times New Roman"/>
        </w:rPr>
        <w:t>с</w:t>
      </w:r>
      <w:r>
        <w:t xml:space="preserve"> </w:t>
      </w:r>
      <w:r>
        <w:rPr>
          <w:rFonts w:ascii="Times New Roman" w:hAnsi="Times New Roman"/>
        </w:rPr>
        <w:t>вашими</w:t>
      </w:r>
      <w:r>
        <w:t xml:space="preserve"> </w:t>
      </w:r>
      <w:r>
        <w:rPr>
          <w:rFonts w:ascii="Times New Roman" w:hAnsi="Times New Roman"/>
        </w:rPr>
        <w:t>требованиями</w:t>
      </w:r>
      <w:r>
        <w:t xml:space="preserve">. </w:t>
      </w:r>
      <w:r>
        <w:rPr>
          <w:rFonts w:ascii="Times New Roman" w:hAnsi="Times New Roman"/>
        </w:rPr>
        <w:t>Посредством</w:t>
      </w:r>
      <w:r>
        <w:t xml:space="preserve"> </w:t>
      </w:r>
      <w:r>
        <w:rPr>
          <w:rFonts w:ascii="Times New Roman" w:hAnsi="Times New Roman"/>
        </w:rPr>
        <w:t>удаления</w:t>
      </w:r>
      <w:r>
        <w:t xml:space="preserve"> </w:t>
      </w:r>
      <w:r>
        <w:rPr>
          <w:rFonts w:ascii="Times New Roman" w:hAnsi="Times New Roman"/>
        </w:rPr>
        <w:t>отдельных</w:t>
      </w:r>
      <w:r>
        <w:t xml:space="preserve"> </w:t>
      </w:r>
      <w:r>
        <w:rPr>
          <w:rFonts w:ascii="Times New Roman" w:hAnsi="Times New Roman"/>
        </w:rPr>
        <w:t>ячеек</w:t>
      </w:r>
      <w:r>
        <w:t xml:space="preserve"> </w:t>
      </w:r>
      <w:r>
        <w:rPr>
          <w:rFonts w:ascii="Times New Roman" w:hAnsi="Times New Roman"/>
        </w:rPr>
        <w:t>лотка</w:t>
      </w:r>
      <w:r>
        <w:t xml:space="preserve"> </w:t>
      </w:r>
      <w:r>
        <w:rPr>
          <w:rFonts w:ascii="Times New Roman" w:hAnsi="Times New Roman"/>
        </w:rPr>
        <w:t>и</w:t>
      </w:r>
      <w:r>
        <w:t xml:space="preserve"> </w:t>
      </w:r>
      <w:r>
        <w:rPr>
          <w:rFonts w:ascii="Times New Roman" w:hAnsi="Times New Roman"/>
        </w:rPr>
        <w:t>его</w:t>
      </w:r>
      <w:r>
        <w:t xml:space="preserve"> </w:t>
      </w:r>
      <w:r>
        <w:rPr>
          <w:rFonts w:ascii="Times New Roman" w:hAnsi="Times New Roman"/>
        </w:rPr>
        <w:t>изгибом </w:t>
      </w:r>
      <w:r>
        <w:t xml:space="preserve"> </w:t>
      </w:r>
      <w:r>
        <w:rPr>
          <w:rFonts w:ascii="Times New Roman" w:hAnsi="Times New Roman"/>
        </w:rPr>
        <w:t>под</w:t>
      </w:r>
      <w:r>
        <w:t xml:space="preserve"> </w:t>
      </w:r>
      <w:r>
        <w:rPr>
          <w:rFonts w:ascii="Times New Roman" w:hAnsi="Times New Roman"/>
        </w:rPr>
        <w:t>разными</w:t>
      </w:r>
      <w:r>
        <w:t xml:space="preserve"> </w:t>
      </w:r>
      <w:r>
        <w:rPr>
          <w:rFonts w:ascii="Times New Roman" w:hAnsi="Times New Roman"/>
        </w:rPr>
        <w:t>углами</w:t>
      </w:r>
      <w:r>
        <w:t xml:space="preserve"> </w:t>
      </w:r>
      <w:r>
        <w:rPr>
          <w:rFonts w:ascii="Times New Roman" w:hAnsi="Times New Roman"/>
        </w:rPr>
        <w:t>возможно</w:t>
      </w:r>
      <w:r>
        <w:t xml:space="preserve"> </w:t>
      </w:r>
      <w:r>
        <w:rPr>
          <w:rFonts w:ascii="Times New Roman" w:hAnsi="Times New Roman"/>
        </w:rPr>
        <w:t>формирование</w:t>
      </w:r>
      <w:r>
        <w:t xml:space="preserve"> </w:t>
      </w:r>
      <w:r>
        <w:rPr>
          <w:rFonts w:ascii="Times New Roman" w:hAnsi="Times New Roman"/>
        </w:rPr>
        <w:t>кабельной</w:t>
      </w:r>
      <w:r>
        <w:t xml:space="preserve"> </w:t>
      </w:r>
      <w:r>
        <w:rPr>
          <w:rFonts w:ascii="Times New Roman" w:hAnsi="Times New Roman"/>
        </w:rPr>
        <w:t>трассы</w:t>
      </w:r>
      <w:r>
        <w:t xml:space="preserve"> </w:t>
      </w:r>
      <w:r>
        <w:rPr>
          <w:rFonts w:ascii="Times New Roman" w:hAnsi="Times New Roman"/>
        </w:rPr>
        <w:t>любой</w:t>
      </w:r>
      <w:r>
        <w:t xml:space="preserve"> </w:t>
      </w:r>
      <w:r>
        <w:rPr>
          <w:rFonts w:ascii="Times New Roman" w:hAnsi="Times New Roman"/>
        </w:rPr>
        <w:t>формы</w:t>
      </w:r>
      <w:r>
        <w:t xml:space="preserve">. </w:t>
      </w:r>
      <w:r>
        <w:rPr>
          <w:rFonts w:ascii="Times New Roman" w:hAnsi="Times New Roman"/>
        </w:rPr>
        <w:t>Для</w:t>
      </w:r>
      <w:r>
        <w:t xml:space="preserve"> </w:t>
      </w:r>
      <w:r>
        <w:rPr>
          <w:rFonts w:ascii="Times New Roman" w:hAnsi="Times New Roman"/>
        </w:rPr>
        <w:t>удаления</w:t>
      </w:r>
      <w:r>
        <w:t xml:space="preserve"> </w:t>
      </w:r>
      <w:r>
        <w:rPr>
          <w:rFonts w:ascii="Times New Roman" w:hAnsi="Times New Roman"/>
        </w:rPr>
        <w:t>частей</w:t>
      </w:r>
      <w:r>
        <w:t xml:space="preserve"> </w:t>
      </w:r>
      <w:r>
        <w:rPr>
          <w:rFonts w:ascii="Times New Roman" w:hAnsi="Times New Roman"/>
        </w:rPr>
        <w:t>металличе</w:t>
      </w:r>
      <w:r>
        <w:t>ской сетки мы рекомендуем использовать профессиональный инструмент с односторонней режущей кромкой (как показано на рисунке).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t>  </w:t>
      </w:r>
      <w:r>
        <w:rPr>
          <w:noProof/>
        </w:rPr>
        <w:drawing>
          <wp:inline distT="0" distB="0" distL="0" distR="0" wp14:anchorId="4777C7B0" wp14:editId="593476C4">
            <wp:extent cx="6096000" cy="4076700"/>
            <wp:effectExtent l="0" t="0" r="0" b="0"/>
            <wp:docPr id="3" name="Рисунок 3" descr="http://www.sonet-msk.ru/images/golossary/24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net-msk.ru/images/golossary/240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1" w:rsidRDefault="00542CF1" w:rsidP="00542CF1">
      <w:pPr>
        <w:pStyle w:val="a6"/>
        <w:shd w:val="clear" w:color="auto" w:fill="FFFFFF"/>
        <w:jc w:val="center"/>
      </w:pPr>
      <w:r>
        <w:t>Размещение режущих челюстей проволочных кусачек. Для того чтобы предотвратить возможное повреждение кабеля, следует обрезать проволоку  лотка по возможности ближе к узлам пересечения.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t>(</w:t>
      </w:r>
      <w:proofErr w:type="gramStart"/>
      <w:r>
        <w:t>с</w:t>
      </w:r>
      <w:proofErr w:type="gramEnd"/>
      <w:r>
        <w:t>м. рис. ниже).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noProof/>
        </w:rPr>
        <w:drawing>
          <wp:inline distT="0" distB="0" distL="0" distR="0" wp14:anchorId="4CBD1B9D" wp14:editId="0DD92AC8">
            <wp:extent cx="4248150" cy="2009775"/>
            <wp:effectExtent l="0" t="0" r="0" b="9525"/>
            <wp:docPr id="4" name="Рисунок 4" descr="http://www.sonet-msk.ru/images/golossary/240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net-msk.ru/images/golossary/240_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1" w:rsidRDefault="00542CF1" w:rsidP="00542CF1">
      <w:pPr>
        <w:pStyle w:val="a6"/>
        <w:shd w:val="clear" w:color="auto" w:fill="FFFFFF"/>
        <w:jc w:val="center"/>
      </w:pPr>
      <w:r>
        <w:t>Не рекомендуется использовать кусачки с двусторонней режущей кромкой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lastRenderedPageBreak/>
        <w:t> 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noProof/>
        </w:rPr>
        <w:drawing>
          <wp:inline distT="0" distB="0" distL="0" distR="0" wp14:anchorId="5F4AFED7" wp14:editId="5B1F632F">
            <wp:extent cx="5010150" cy="1514475"/>
            <wp:effectExtent l="0" t="0" r="0" b="9525"/>
            <wp:docPr id="5" name="Рисунок 5" descr="http://www.sonet-msk.ru/images/golossary/240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net-msk.ru/images/golossary/240_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1" w:rsidRDefault="00542CF1" w:rsidP="00542CF1">
      <w:pPr>
        <w:pStyle w:val="a6"/>
        <w:shd w:val="clear" w:color="auto" w:fill="FFFFFF"/>
        <w:jc w:val="center"/>
      </w:pPr>
      <w:r>
        <w:t>                 </w:t>
      </w:r>
      <w:r>
        <w:rPr>
          <w:rStyle w:val="a5"/>
        </w:rPr>
        <w:t>РЕКОМЕНДОВАННО                                                        НЕ РЕКОМЕНДОВАННО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t> 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t xml:space="preserve">  Основные рекомендации для  монтажа кабельных трасс на основе проволочного и листового лотка </w:t>
      </w:r>
      <w:proofErr w:type="spellStart"/>
      <w:r>
        <w:rPr>
          <w:rStyle w:val="a5"/>
        </w:rPr>
        <w:t>Эвантер</w:t>
      </w:r>
      <w:proofErr w:type="spellEnd"/>
      <w:r>
        <w:rPr>
          <w:rStyle w:val="a5"/>
        </w:rPr>
        <w:t>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t> </w:t>
      </w:r>
      <w:r>
        <w:t xml:space="preserve">При монтаже кабельной системы на базе лотков </w:t>
      </w:r>
      <w:proofErr w:type="spellStart"/>
      <w:r>
        <w:t>Эвантер</w:t>
      </w:r>
      <w:proofErr w:type="spellEnd"/>
      <w:r>
        <w:t xml:space="preserve"> необходимо следовать рекомендациям по расположению точек соединения лотков между собой и расположением опор крепления. При соблюдении этих рекомендаций нагрузка на кабельную трассу распределена оптимально, что гарантирует устойчивость, долговременность и прочность системы.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noProof/>
        </w:rPr>
        <w:drawing>
          <wp:inline distT="0" distB="0" distL="0" distR="0" wp14:anchorId="5E2CDD2F" wp14:editId="7A2E4F7A">
            <wp:extent cx="5038725" cy="1600200"/>
            <wp:effectExtent l="0" t="0" r="9525" b="0"/>
            <wp:docPr id="6" name="Рисунок 6" descr="http://www.sonet-msk.ru/images/golossary/240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net-msk.ru/images/golossary/240_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1" w:rsidRDefault="00542CF1" w:rsidP="00542CF1">
      <w:pPr>
        <w:pStyle w:val="a6"/>
        <w:shd w:val="clear" w:color="auto" w:fill="FFFFFF"/>
        <w:jc w:val="center"/>
      </w:pPr>
      <w:r>
        <w:t>Соединение лотков на расстоянии 1/5 длины от ближайшего крепления является оптимальным.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noProof/>
        </w:rPr>
        <w:drawing>
          <wp:inline distT="0" distB="0" distL="0" distR="0" wp14:anchorId="5DAC01BD" wp14:editId="2ACBAAC5">
            <wp:extent cx="4400550" cy="1333500"/>
            <wp:effectExtent l="0" t="0" r="0" b="0"/>
            <wp:docPr id="7" name="Рисунок 7" descr="http://www.sonet-msk.ru/images/golossary/240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net-msk.ru/images/golossary/240_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1" w:rsidRDefault="00542CF1" w:rsidP="00542CF1">
      <w:pPr>
        <w:pStyle w:val="a6"/>
        <w:shd w:val="clear" w:color="auto" w:fill="FFFFFF"/>
        <w:jc w:val="center"/>
      </w:pPr>
      <w:r>
        <w:t>Соединение может располагаться посередине между двумя опорами. При этом прочность системы уменьшается.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noProof/>
        </w:rPr>
        <w:lastRenderedPageBreak/>
        <w:drawing>
          <wp:inline distT="0" distB="0" distL="0" distR="0" wp14:anchorId="62630BC0" wp14:editId="0CC6A9D5">
            <wp:extent cx="4657725" cy="1524000"/>
            <wp:effectExtent l="0" t="0" r="9525" b="0"/>
            <wp:docPr id="8" name="Рисунок 8" descr="http://www.sonet-msk.ru/images/golossary/240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net-msk.ru/images/golossary/240_0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1" w:rsidRDefault="00542CF1" w:rsidP="00542CF1">
      <w:pPr>
        <w:pStyle w:val="a6"/>
        <w:shd w:val="clear" w:color="auto" w:fill="FFFFFF"/>
        <w:jc w:val="center"/>
      </w:pPr>
      <w:r>
        <w:t>Недопустимо размещать соединение там же, где расположено крепление проволочного лотка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t>Схема крепления через 2 метра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b/>
          <w:bCs/>
          <w:noProof/>
        </w:rPr>
        <w:drawing>
          <wp:inline distT="0" distB="0" distL="0" distR="0" wp14:anchorId="3C6E0521" wp14:editId="63C79808">
            <wp:extent cx="11125200" cy="3238500"/>
            <wp:effectExtent l="0" t="0" r="0" b="0"/>
            <wp:docPr id="9" name="Рисунок 9" descr="http://www.sonet-msk.ru/images/golossary/240_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net-msk.ru/images/golossary/240_0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> 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t>Самый распространенный и надежный способ крепления систем на базе кабельных лотков - через 2 метра. Для этого первый пролет располагают на расстоянии 1,5 метра, а все дальнейшие крепления - через 2 метра. В этом случае соединения располагаются на расстоянии 0,5 метра от крепления (точки опоры или подвеса).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t>Изгибы и повороты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t>- При изменениях уровня или направления трассы, крепление (точка опоры) мы рекомендуем располагать на расстоянии 1/5 от расстояния между креплениями (опорами).</w:t>
      </w:r>
      <w:r>
        <w:br/>
        <w:t>- При больших радиусах поворотов и изгибов мы рекомендуем дополнительно крепить  середину изгиба.</w:t>
      </w:r>
      <w:r>
        <w:br/>
        <w:t>- В начале и в конце изгиба в 90° также рекомендуется  использовать дополнительные опоры или крепления.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t xml:space="preserve"> При расчете кабель несущих систем </w:t>
      </w:r>
      <w:proofErr w:type="spellStart"/>
      <w:r>
        <w:rPr>
          <w:rStyle w:val="a5"/>
        </w:rPr>
        <w:t>Эвантер</w:t>
      </w:r>
      <w:proofErr w:type="spellEnd"/>
      <w:r>
        <w:rPr>
          <w:rStyle w:val="a5"/>
        </w:rPr>
        <w:t xml:space="preserve"> типоразмеры кабельных лотков должны выбираться на основании нижеперечисленных рекомендаций и требований.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lastRenderedPageBreak/>
        <w:t> </w:t>
      </w:r>
      <w:r>
        <w:t xml:space="preserve">1.         Кабели в лотке укладываются одиночно, а провода либо одиночно, либо </w:t>
      </w:r>
      <w:proofErr w:type="gramStart"/>
      <w:r>
        <w:t>увязанными</w:t>
      </w:r>
      <w:proofErr w:type="gramEnd"/>
      <w:r>
        <w:t xml:space="preserve"> в пучки. Высота боковых стенок кабельного лотка должна равняться или превышать диаметр наибольшего кабеля или связки проводов.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t xml:space="preserve">2.         Ширина кабельного лотка или короба должна быть достаточной для укладки нескольких кабельных или проводных рядов. При этом необходимо учитывать, </w:t>
      </w:r>
      <w:proofErr w:type="gramStart"/>
      <w:r>
        <w:t>что</w:t>
      </w:r>
      <w:proofErr w:type="gramEnd"/>
      <w:r>
        <w:t xml:space="preserve"> как правило при укладке  кабелей в лоток,  потребуется разделение силовых кабелей и слаботочных (с помощью дополнительной перегородки).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t>3.</w:t>
      </w:r>
      <w:r>
        <w:t xml:space="preserve">        Чем плотнее уложены кабели, тем хуже самовентиляция. При выборе кабельного короба или лотка следует выбирать такую его толщину, чтобы сечение оставалось частично незаполненным. В противном случае плохая самовентиляция или ее отсутствие приведут к перегреву кабелей и проводов, что в свою очередь снизит электропроводимость и спровоцирует увеличение потерь. Для хорошей самовентиляции рекомендуется выбирать проволочные или перфорированные кабельные лотки, либо широкие лотки с небольшой высотой стенок.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t>4.</w:t>
      </w:r>
      <w:r>
        <w:t xml:space="preserve">        Заполняемость кабельных лотков регламентирована «Правилами устройства электроустановок» (п.2.1.61 изд. 7-е): «В коробах провода и кабели допускается прокладывать многослойно с упорядоченным и произвольным (россыпью) взаимным расположением. Сумма сечений проводов и кабелей, рассчитанных по их наружным диаметрам, включая изоляцию и наружные оболочки, не должна превышать: для глухих коробов 33%  площади сечения короба, для открытых коробов  40%».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t>Определение заполняемости лотка производится на основании суммирования площадей сечений проводных и кабельных линий. Поскольку в лотке невозможно проложить кабели вплотную, то площадь поперечника, занимаемая одним кабелем, рассчитывается по следующей формуле: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t>S = D², т.е. считается, что кабель занимает площадь, равную квадрату со стороной его диаметра.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t>S – площадь сечения единичного кабеля; D- внешний диаметр кабеля (с учетом изоляции и оболочки.)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noProof/>
        </w:rPr>
        <w:drawing>
          <wp:inline distT="0" distB="0" distL="0" distR="0" wp14:anchorId="7B204AF6" wp14:editId="20E8BA54">
            <wp:extent cx="4286250" cy="2257425"/>
            <wp:effectExtent l="0" t="0" r="0" b="9525"/>
            <wp:docPr id="10" name="Рисунок 10" descr="http://www.sonet-msk.ru/images/golossary/240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net-msk.ru/images/golossary/240_00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1" w:rsidRDefault="00542CF1" w:rsidP="00542CF1">
      <w:pPr>
        <w:pStyle w:val="a6"/>
        <w:shd w:val="clear" w:color="auto" w:fill="FFFFFF"/>
        <w:jc w:val="center"/>
      </w:pPr>
      <w:r>
        <w:t xml:space="preserve">Общая площадь сечения </w:t>
      </w:r>
      <w:r>
        <w:rPr>
          <w:rStyle w:val="a5"/>
        </w:rPr>
        <w:t>S</w:t>
      </w:r>
      <w:r>
        <w:t xml:space="preserve">, занимаемая всеми кабелями и проводами, рассчитывается как сумма всех условных площадей сечений кабеля. </w:t>
      </w:r>
      <w:r>
        <w:rPr>
          <w:rStyle w:val="a5"/>
        </w:rPr>
        <w:t>S=S1+S2+…+S10</w:t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noProof/>
        </w:rPr>
        <w:lastRenderedPageBreak/>
        <w:drawing>
          <wp:inline distT="0" distB="0" distL="0" distR="0" wp14:anchorId="1B40DED7" wp14:editId="22B1AC08">
            <wp:extent cx="4238625" cy="1714500"/>
            <wp:effectExtent l="0" t="0" r="9525" b="0"/>
            <wp:docPr id="11" name="Рисунок 11" descr="http://www.sonet-msk.ru/images/golossary/240_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onet-msk.ru/images/golossary/240_0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1" w:rsidRDefault="00542CF1" w:rsidP="00542CF1">
      <w:pPr>
        <w:pStyle w:val="a6"/>
        <w:shd w:val="clear" w:color="auto" w:fill="FFFFFF"/>
        <w:jc w:val="center"/>
      </w:pPr>
      <w:r>
        <w:rPr>
          <w:rStyle w:val="a5"/>
        </w:rPr>
        <w:t>5.</w:t>
      </w:r>
      <w:r>
        <w:t xml:space="preserve">        На практике кабельную трассу с течением времени часто приходится расширять. В связи с этим мы рекомендуем увеличить площадь лотка на 25%, чтобы впоследствии избежать частичной или полной замены кабель несущей системы.</w:t>
      </w:r>
    </w:p>
    <w:p w:rsidR="002E647F" w:rsidRPr="00542CF1" w:rsidRDefault="002E647F" w:rsidP="00542CF1"/>
    <w:sectPr w:rsidR="002E647F" w:rsidRPr="0054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sans-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0D"/>
    <w:rsid w:val="002E647F"/>
    <w:rsid w:val="00542CF1"/>
    <w:rsid w:val="00A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0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42CF1"/>
    <w:rPr>
      <w:b/>
      <w:bCs/>
    </w:rPr>
  </w:style>
  <w:style w:type="paragraph" w:styleId="a6">
    <w:name w:val="Normal (Web)"/>
    <w:basedOn w:val="a"/>
    <w:uiPriority w:val="99"/>
    <w:semiHidden/>
    <w:unhideWhenUsed/>
    <w:rsid w:val="00542CF1"/>
    <w:pPr>
      <w:spacing w:before="100" w:beforeAutospacing="1" w:after="100" w:afterAutospacing="1" w:line="255" w:lineRule="atLeast"/>
    </w:pPr>
    <w:rPr>
      <w:rFonts w:ascii="arial sans-serif" w:eastAsia="Times New Roman" w:hAnsi="arial sans-serif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0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42CF1"/>
    <w:rPr>
      <w:b/>
      <w:bCs/>
    </w:rPr>
  </w:style>
  <w:style w:type="paragraph" w:styleId="a6">
    <w:name w:val="Normal (Web)"/>
    <w:basedOn w:val="a"/>
    <w:uiPriority w:val="99"/>
    <w:semiHidden/>
    <w:unhideWhenUsed/>
    <w:rsid w:val="00542CF1"/>
    <w:pPr>
      <w:spacing w:before="100" w:beforeAutospacing="1" w:after="100" w:afterAutospacing="1" w:line="255" w:lineRule="atLeast"/>
    </w:pPr>
    <w:rPr>
      <w:rFonts w:ascii="arial sans-serif" w:eastAsia="Times New Roman" w:hAnsi="arial sans-serif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1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4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9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05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49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56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1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7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0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9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2016-06-08T04:27:00Z</dcterms:created>
  <dcterms:modified xsi:type="dcterms:W3CDTF">2016-06-08T04:32:00Z</dcterms:modified>
</cp:coreProperties>
</file>